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73" w:rsidRPr="000E3953" w:rsidRDefault="000E3953" w:rsidP="004E0736">
      <w:pPr>
        <w:tabs>
          <w:tab w:val="right" w:pos="10080"/>
        </w:tabs>
        <w:spacing w:after="0" w:line="240" w:lineRule="auto"/>
      </w:pPr>
      <w:r w:rsidRPr="000E3953">
        <w:t xml:space="preserve">Molarity </w:t>
      </w:r>
      <w:proofErr w:type="spellStart"/>
      <w:r w:rsidRPr="000E3953">
        <w:t>PhET</w:t>
      </w:r>
      <w:proofErr w:type="spellEnd"/>
      <w:r w:rsidRPr="000E3953">
        <w:t xml:space="preserve"> Lab</w:t>
      </w:r>
      <w:r w:rsidRPr="000E3953">
        <w:tab/>
        <w:t>Name _______________________________________</w:t>
      </w:r>
    </w:p>
    <w:p w:rsidR="000E3953" w:rsidRPr="000E3953" w:rsidRDefault="000E3953" w:rsidP="004E0736">
      <w:pPr>
        <w:spacing w:after="0" w:line="240" w:lineRule="auto"/>
      </w:pPr>
      <w:r w:rsidRPr="000E3953">
        <w:t>Chemistry: Becke</w:t>
      </w:r>
    </w:p>
    <w:p w:rsidR="000E3953" w:rsidRP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 w:rsidRPr="000E3953">
        <w:t xml:space="preserve">Either go directly to </w:t>
      </w:r>
      <w:hyperlink r:id="rId5" w:history="1">
        <w:r w:rsidRPr="000E3953">
          <w:rPr>
            <w:rStyle w:val="Hyperlink"/>
            <w:color w:val="auto"/>
          </w:rPr>
          <w:t>https://phet.colorado.edu/en/simulation/molarity</w:t>
        </w:r>
      </w:hyperlink>
      <w:r w:rsidRPr="000E3953">
        <w:t xml:space="preserve"> , or go to </w:t>
      </w:r>
      <w:r w:rsidRPr="000E3953">
        <w:rPr>
          <w:u w:val="single"/>
        </w:rPr>
        <w:t>phet.colorado.edu</w:t>
      </w:r>
      <w:r w:rsidRPr="000E3953">
        <w:t>, search “molarity” and select Molarity (HTML5)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Have you ever made lemonade or Kool Aid with powdered drink mix? Sometimes you make it too weak and sometimes it may turn out too strong!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Look at the simulation.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The first slider is the “</w:t>
      </w:r>
      <w:r w:rsidRPr="00EB7356">
        <w:rPr>
          <w:b/>
        </w:rPr>
        <w:t>Solute Amount</w:t>
      </w:r>
      <w:r>
        <w:t>”. This is the amount of the solid (powder) you’re adding.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The second slider is the “</w:t>
      </w:r>
      <w:r w:rsidRPr="00EB7356">
        <w:rPr>
          <w:b/>
        </w:rPr>
        <w:t>Solution Volume</w:t>
      </w:r>
      <w:r>
        <w:t>”. This is how much you’ll wind up with in your glass or pitcher.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The slider to the right is “</w:t>
      </w:r>
      <w:r w:rsidRPr="00EB7356">
        <w:rPr>
          <w:b/>
        </w:rPr>
        <w:t>Solution Concentration</w:t>
      </w:r>
      <w:r>
        <w:t>”. This is a good indication of if the Kool Aid is weak, strong or just right.</w:t>
      </w:r>
    </w:p>
    <w:p w:rsidR="000E3953" w:rsidRDefault="00EB7356" w:rsidP="004E07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802640" cy="6667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C2D" w:rsidRPr="00EB7356" w:rsidRDefault="000C7C2D" w:rsidP="00EB735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EBDA9" wp14:editId="54BA60FB">
                                  <wp:extent cx="425450" cy="409575"/>
                                  <wp:effectExtent l="0" t="0" r="0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B7356">
                              <w:rPr>
                                <w:sz w:val="18"/>
                              </w:rPr>
                              <w:t>Reset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1.8pt;width:63.2pt;height:5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">
                <v:textbox>
                  <w:txbxContent>
                    <w:p w:rsidR="000C7C2D" w:rsidRPr="00EB7356" w:rsidRDefault="000C7C2D" w:rsidP="00EB735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2EBDA9" wp14:editId="54BA60FB">
                            <wp:extent cx="425450" cy="409575"/>
                            <wp:effectExtent l="0" t="0" r="0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0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7356">
                        <w:rPr>
                          <w:sz w:val="18"/>
                        </w:rPr>
                        <w:t>Reset Button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3953" w:rsidRDefault="000E3953" w:rsidP="004E0736">
      <w:pPr>
        <w:spacing w:after="0" w:line="240" w:lineRule="auto"/>
      </w:pPr>
      <w:r>
        <w:t xml:space="preserve">When you first open the </w:t>
      </w:r>
      <w:proofErr w:type="gramStart"/>
      <w:r>
        <w:t>simulation</w:t>
      </w:r>
      <w:proofErr w:type="gramEnd"/>
      <w:r>
        <w:t xml:space="preserve"> it gives you what looks like a pretty weak drink. What are two ways of making the drink stronger? Move just one slider to make a change that works, then hit the reset </w:t>
      </w:r>
      <w:proofErr w:type="gramStart"/>
      <w:r>
        <w:t xml:space="preserve">button </w:t>
      </w:r>
      <w:r w:rsidR="00EB7356">
        <w:t xml:space="preserve"> </w:t>
      </w:r>
      <w:r>
        <w:t>and</w:t>
      </w:r>
      <w:proofErr w:type="gramEnd"/>
      <w:r>
        <w:t xml:space="preserve"> make a second change that works.  Write your answers below: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</w:t>
      </w:r>
    </w:p>
    <w:p w:rsidR="000E3953" w:rsidRDefault="000E3953" w:rsidP="004E0736">
      <w:pPr>
        <w:spacing w:after="0" w:line="240" w:lineRule="auto"/>
      </w:pPr>
    </w:p>
    <w:p w:rsidR="000E3953" w:rsidRDefault="000E3953" w:rsidP="004E0736">
      <w:pPr>
        <w:spacing w:after="0" w:line="240" w:lineRule="auto"/>
      </w:pPr>
      <w:r>
        <w:t>In Chemistry, we often want to do numerical calculations, so first hit “reset”, then hit the “</w:t>
      </w:r>
      <w:r w:rsidRPr="00EB7356">
        <w:rPr>
          <w:b/>
        </w:rPr>
        <w:t>Solution values</w:t>
      </w:r>
      <w:r>
        <w:t>” checkbox.</w:t>
      </w:r>
      <w:r w:rsidR="00BD38CA">
        <w:t xml:space="preserve"> You should see that the Solute Amount (moles) = 0.500 mol, the Solution Volume (Liters) = 0 .500 L, and the Solution Concentration (Molarity) = 1.000 M.</w:t>
      </w:r>
    </w:p>
    <w:p w:rsidR="00BD38CA" w:rsidRDefault="00BD38CA" w:rsidP="004E0736">
      <w:pPr>
        <w:spacing w:after="0" w:line="240" w:lineRule="auto"/>
      </w:pPr>
    </w:p>
    <w:p w:rsidR="00BD38CA" w:rsidRDefault="00BD38CA" w:rsidP="004E0736">
      <w:pPr>
        <w:spacing w:after="0" w:line="240" w:lineRule="auto"/>
      </w:pPr>
      <w:r>
        <w:t>Play with the sliders and find other values for moles and Liters that will result in a Molarity of 1.000 M</w:t>
      </w:r>
    </w:p>
    <w:p w:rsidR="00BD38CA" w:rsidRDefault="00BD38CA" w:rsidP="004E073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D38CA" w:rsidTr="00BD38CA">
        <w:tc>
          <w:tcPr>
            <w:tcW w:w="3356" w:type="dxa"/>
            <w:vAlign w:val="center"/>
          </w:tcPr>
          <w:p w:rsidR="00BD38CA" w:rsidRDefault="00BD38CA" w:rsidP="004E0736">
            <w:pPr>
              <w:jc w:val="center"/>
            </w:pPr>
            <w:r>
              <w:t>Solute Amount (moles)</w:t>
            </w: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Solution Volume (Liters)</w:t>
            </w: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Solution Concentration (Molarity)</w:t>
            </w:r>
          </w:p>
        </w:tc>
      </w:tr>
      <w:tr w:rsidR="00BD38CA" w:rsidTr="00BD38CA">
        <w:trPr>
          <w:trHeight w:val="432"/>
        </w:trPr>
        <w:tc>
          <w:tcPr>
            <w:tcW w:w="3356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1.000 M</w:t>
            </w:r>
          </w:p>
        </w:tc>
      </w:tr>
      <w:tr w:rsidR="00BD38CA" w:rsidTr="00BD38CA">
        <w:trPr>
          <w:trHeight w:val="432"/>
        </w:trPr>
        <w:tc>
          <w:tcPr>
            <w:tcW w:w="3356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1.000 M</w:t>
            </w:r>
          </w:p>
        </w:tc>
      </w:tr>
      <w:tr w:rsidR="00BD38CA" w:rsidTr="00BD38CA">
        <w:trPr>
          <w:trHeight w:val="432"/>
        </w:trPr>
        <w:tc>
          <w:tcPr>
            <w:tcW w:w="3356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1.000 M</w:t>
            </w:r>
          </w:p>
        </w:tc>
      </w:tr>
      <w:tr w:rsidR="00BD38CA" w:rsidTr="00BD38CA">
        <w:trPr>
          <w:trHeight w:val="432"/>
        </w:trPr>
        <w:tc>
          <w:tcPr>
            <w:tcW w:w="3356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</w:p>
        </w:tc>
        <w:tc>
          <w:tcPr>
            <w:tcW w:w="3357" w:type="dxa"/>
            <w:vAlign w:val="center"/>
          </w:tcPr>
          <w:p w:rsidR="00BD38CA" w:rsidRDefault="00BD38CA" w:rsidP="004E0736">
            <w:pPr>
              <w:jc w:val="center"/>
            </w:pPr>
            <w:r>
              <w:t>1.000 M</w:t>
            </w:r>
          </w:p>
        </w:tc>
      </w:tr>
    </w:tbl>
    <w:p w:rsidR="00BD38CA" w:rsidRDefault="00BD38CA" w:rsidP="004E0736">
      <w:pPr>
        <w:spacing w:after="0" w:line="240" w:lineRule="auto"/>
      </w:pPr>
    </w:p>
    <w:p w:rsidR="00BD38CA" w:rsidRDefault="00BD38CA" w:rsidP="004E0736">
      <w:pPr>
        <w:spacing w:after="0" w:line="240" w:lineRule="auto"/>
      </w:pPr>
      <w:r>
        <w:t>What do you notice about the values?</w:t>
      </w:r>
    </w:p>
    <w:p w:rsidR="00BD38CA" w:rsidRDefault="00BD38CA" w:rsidP="004E0736">
      <w:pPr>
        <w:spacing w:after="0" w:line="240" w:lineRule="auto"/>
      </w:pPr>
    </w:p>
    <w:p w:rsidR="00BD38CA" w:rsidRDefault="00BD38CA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BD38CA" w:rsidRDefault="00BD38CA" w:rsidP="004E0736">
      <w:pPr>
        <w:spacing w:after="0" w:line="240" w:lineRule="auto"/>
      </w:pPr>
    </w:p>
    <w:p w:rsidR="00BD38CA" w:rsidRDefault="00BD38CA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BD38CA" w:rsidRDefault="00BD38CA" w:rsidP="004E0736">
      <w:pPr>
        <w:spacing w:after="0" w:line="240" w:lineRule="auto"/>
      </w:pPr>
    </w:p>
    <w:p w:rsidR="00BD38CA" w:rsidRDefault="00BD38CA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BD38CA" w:rsidRDefault="00BD38CA" w:rsidP="004E0736">
      <w:pPr>
        <w:spacing w:after="0"/>
      </w:pPr>
      <w:r>
        <w:br w:type="page"/>
      </w:r>
    </w:p>
    <w:p w:rsidR="00BD38CA" w:rsidRDefault="00EB7356" w:rsidP="004E0736">
      <w:pPr>
        <w:spacing w:after="0" w:line="240" w:lineRule="auto"/>
      </w:pPr>
      <w:r>
        <w:lastRenderedPageBreak/>
        <w:t xml:space="preserve">The concentration or strength of a solution is called its </w:t>
      </w:r>
      <w:r>
        <w:rPr>
          <w:b/>
        </w:rPr>
        <w:t>Molarity</w:t>
      </w:r>
      <w:r>
        <w:t xml:space="preserve"> which is a ratio of the solute amount in moles divided by the solution volume in liters. We can write the formula:</w:t>
      </w:r>
    </w:p>
    <w:p w:rsidR="00EB7356" w:rsidRDefault="00EB7356" w:rsidP="004E0736">
      <w:pPr>
        <w:spacing w:after="0" w:line="240" w:lineRule="auto"/>
      </w:pPr>
    </w:p>
    <w:p w:rsidR="00EB7356" w:rsidRPr="009C52E2" w:rsidRDefault="00EB7356" w:rsidP="004E0736">
      <w:pPr>
        <w:spacing w:after="0" w:line="240" w:lineRule="auto"/>
        <w:rPr>
          <w:b/>
        </w:rPr>
      </w:pPr>
      <m:oMathPara>
        <m:oMath>
          <m:r>
            <m:rPr>
              <m:nor/>
            </m:rPr>
            <w:rPr>
              <w:rFonts w:ascii="Cambria Math" w:hAnsi="Cambria Math"/>
              <w:b/>
            </w:rPr>
            <m:t>Solution Concentration (Molarity)=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b/>
                </w:rPr>
                <m:t>Solute Amount (moles)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b/>
                </w:rPr>
                <m:t>Solution Volume (Liters)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</m:t>
          </m:r>
          <m:r>
            <m:rPr>
              <m:nor/>
            </m:rPr>
            <w:rPr>
              <w:rFonts w:ascii="Cambria Math" w:eastAsiaTheme="minorEastAsia" w:hAnsi="Cambria Math"/>
              <w:b/>
            </w:rPr>
            <m:t>or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M=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V</m:t>
              </m:r>
            </m:den>
          </m:f>
        </m:oMath>
      </m:oMathPara>
    </w:p>
    <w:p w:rsidR="00BD38CA" w:rsidRDefault="00BD38CA" w:rsidP="004E0736">
      <w:pPr>
        <w:spacing w:after="0" w:line="240" w:lineRule="auto"/>
      </w:pPr>
    </w:p>
    <w:p w:rsidR="009C52E2" w:rsidRDefault="009C52E2" w:rsidP="004E0736">
      <w:pPr>
        <w:spacing w:after="0" w:line="240" w:lineRule="auto"/>
        <w:rPr>
          <w:rFonts w:eastAsiaTheme="minorEastAsia"/>
        </w:rPr>
      </w:pPr>
      <w:r>
        <w:t xml:space="preserve">The units for molarity are moles per liter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</w:p>
    <w:p w:rsidR="009C52E2" w:rsidRDefault="009C52E2" w:rsidP="004E0736">
      <w:pPr>
        <w:spacing w:after="0" w:line="240" w:lineRule="auto"/>
      </w:pPr>
    </w:p>
    <w:p w:rsidR="009C52E2" w:rsidRDefault="009C52E2" w:rsidP="004E0736">
      <w:pPr>
        <w:spacing w:after="0" w:line="240" w:lineRule="auto"/>
      </w:pPr>
      <w:r>
        <w:t>This equation can be rearranged to solve for volume or for number of moles:</w:t>
      </w:r>
    </w:p>
    <w:p w:rsidR="009C52E2" w:rsidRDefault="009C52E2" w:rsidP="004E0736">
      <w:pPr>
        <w:spacing w:after="0" w:line="240" w:lineRule="auto"/>
      </w:pPr>
    </w:p>
    <w:p w:rsidR="009C52E2" w:rsidRPr="009C52E2" w:rsidRDefault="009C52E2" w:rsidP="004E0736">
      <w:pPr>
        <w:spacing w:after="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n=M×V           V=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9C52E2" w:rsidRDefault="009C52E2" w:rsidP="004E0736">
      <w:pPr>
        <w:spacing w:after="0" w:line="240" w:lineRule="auto"/>
      </w:pPr>
    </w:p>
    <w:p w:rsidR="009C52E2" w:rsidRDefault="009C52E2" w:rsidP="004E0736">
      <w:pPr>
        <w:spacing w:after="0" w:line="240" w:lineRule="auto"/>
      </w:pPr>
      <w:r>
        <w:t>Using the equations, determine the Solute Amount (moles) and the Solution Volume (Liters) that would create a 0.800 molar solution of drink mix in each situation below.</w:t>
      </w:r>
    </w:p>
    <w:p w:rsidR="009C52E2" w:rsidRDefault="009C52E2" w:rsidP="004E0736">
      <w:pPr>
        <w:spacing w:after="0" w:line="240" w:lineRule="auto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6660"/>
      </w:tblGrid>
      <w:tr w:rsidR="009C52E2" w:rsidTr="00F240CD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C52E2" w:rsidRDefault="009C52E2" w:rsidP="004E0736">
            <w:pPr>
              <w:jc w:val="center"/>
            </w:pPr>
            <w:r>
              <w:t>moles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C52E2" w:rsidRDefault="009C52E2" w:rsidP="004E0736">
            <w:pPr>
              <w:jc w:val="center"/>
            </w:pPr>
            <w:r>
              <w:t>Liters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C52E2" w:rsidRDefault="009C52E2" w:rsidP="004E0736">
            <w:pPr>
              <w:jc w:val="center"/>
            </w:pPr>
            <w:r>
              <w:t>Molarity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9C52E2" w:rsidRDefault="00F240CD" w:rsidP="004E0736">
            <w:pPr>
              <w:jc w:val="center"/>
            </w:pPr>
            <w:r>
              <w:t xml:space="preserve">Show </w:t>
            </w:r>
            <w:r w:rsidR="009C52E2">
              <w:t>Calculations</w:t>
            </w:r>
          </w:p>
        </w:tc>
      </w:tr>
      <w:tr w:rsidR="00F240CD" w:rsidTr="000C7C2D">
        <w:trPr>
          <w:trHeight w:val="855"/>
        </w:trPr>
        <w:tc>
          <w:tcPr>
            <w:tcW w:w="1168" w:type="dxa"/>
            <w:vAlign w:val="center"/>
          </w:tcPr>
          <w:p w:rsidR="00F240CD" w:rsidRDefault="00F240CD" w:rsidP="004E0736">
            <w:pPr>
              <w:jc w:val="center"/>
            </w:pPr>
            <w:r w:rsidRPr="00F240CD">
              <w:rPr>
                <w:i/>
              </w:rPr>
              <w:t>Example</w:t>
            </w:r>
            <w:r>
              <w:t>:</w:t>
            </w:r>
          </w:p>
          <w:p w:rsidR="00F240CD" w:rsidRDefault="00F240CD" w:rsidP="004E0736">
            <w:pPr>
              <w:jc w:val="center"/>
            </w:pPr>
            <w:r>
              <w:t>0.500 mol</w:t>
            </w:r>
          </w:p>
          <w:p w:rsidR="00F240CD" w:rsidRDefault="00F240CD" w:rsidP="004E0736">
            <w:pPr>
              <w:jc w:val="center"/>
            </w:pPr>
          </w:p>
        </w:tc>
        <w:tc>
          <w:tcPr>
            <w:tcW w:w="1168" w:type="dxa"/>
            <w:vAlign w:val="center"/>
          </w:tcPr>
          <w:p w:rsidR="00F240CD" w:rsidRDefault="00F240CD" w:rsidP="004E0736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40CD" w:rsidRDefault="00F240CD" w:rsidP="004E0736">
            <w:pPr>
              <w:jc w:val="center"/>
            </w:pPr>
            <w:r>
              <w:t>0.800 M</w:t>
            </w:r>
          </w:p>
        </w:tc>
        <w:tc>
          <w:tcPr>
            <w:tcW w:w="6660" w:type="dxa"/>
            <w:vAlign w:val="center"/>
          </w:tcPr>
          <w:p w:rsidR="00F240CD" w:rsidRDefault="00F240CD" w:rsidP="004E073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0.500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0.800</m:t>
                    </m:r>
                  </m:den>
                </m:f>
                <m:r>
                  <w:rPr>
                    <w:rFonts w:ascii="Cambria Math" w:hAnsi="Cambria Math"/>
                  </w:rPr>
                  <m:t>=0.625 L</m:t>
                </m:r>
              </m:oMath>
            </m:oMathPara>
          </w:p>
        </w:tc>
      </w:tr>
      <w:tr w:rsidR="00F240CD" w:rsidTr="00F240C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0.800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0.800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240CD" w:rsidTr="00F240C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0.256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0.800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240CD" w:rsidTr="00F240C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0.661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0.800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240CD" w:rsidTr="00F240CD">
        <w:trPr>
          <w:trHeight w:val="1008"/>
        </w:trPr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0.665 mol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</w:pPr>
            <w:r>
              <w:t>0.800 M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F240CD" w:rsidRDefault="00F240CD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9C52E2" w:rsidRDefault="009C52E2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Now, check your answers using the simulation.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Looking at your data, for a given molarity, if you have more volume of solution, what happens to the number of moles of solute contained in that solution?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622229" w:rsidRDefault="00622229" w:rsidP="004E0736">
      <w:pPr>
        <w:spacing w:after="0"/>
      </w:pPr>
      <w:r>
        <w:br w:type="page"/>
      </w:r>
    </w:p>
    <w:p w:rsidR="00F240CD" w:rsidRDefault="00622229" w:rsidP="004E0736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Molarity Practice Calculations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Calculate the missing values in the table:</w:t>
      </w:r>
    </w:p>
    <w:p w:rsidR="00622229" w:rsidRDefault="00622229" w:rsidP="004E0736">
      <w:pPr>
        <w:spacing w:after="0" w:line="240" w:lineRule="auto"/>
      </w:pPr>
    </w:p>
    <w:p w:rsidR="00622229" w:rsidRPr="009C52E2" w:rsidRDefault="00622229" w:rsidP="004E0736">
      <w:pPr>
        <w:spacing w:after="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n=M×V           V=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622229" w:rsidRDefault="00622229" w:rsidP="004E0736">
      <w:pPr>
        <w:spacing w:after="0" w:line="240" w:lineRule="auto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6660"/>
      </w:tblGrid>
      <w:tr w:rsidR="00622229" w:rsidTr="000C7C2D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moles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Liters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Molarity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Show Calculations</w:t>
            </w:r>
          </w:p>
        </w:tc>
      </w:tr>
      <w:tr w:rsidR="00622229" w:rsidTr="000C7C2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0.887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1.590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22229" w:rsidTr="000C7C2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0.830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0.360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22229" w:rsidTr="000C7C2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0.750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0.295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22229" w:rsidTr="00622229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0.908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1.552 M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22229" w:rsidTr="000C7C2D">
        <w:trPr>
          <w:trHeight w:val="1008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0.205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  <w:r>
              <w:t>0.880L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229" w:rsidRDefault="00622229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C7C2D" w:rsidTr="000C7C2D">
        <w:trPr>
          <w:trHeight w:val="1008"/>
        </w:trPr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0C7C2D" w:rsidRDefault="000C7C2D" w:rsidP="004E0736">
            <w:pPr>
              <w:jc w:val="center"/>
            </w:pPr>
            <w:r>
              <w:t>0.205 mol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0C7C2D" w:rsidRDefault="000C7C2D" w:rsidP="004E0736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0C7C2D" w:rsidRDefault="000C7C2D" w:rsidP="004E0736">
            <w:pPr>
              <w:jc w:val="center"/>
            </w:pPr>
            <w:r>
              <w:t>1.025 M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0C7C2D" w:rsidRDefault="000C7C2D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Now, check your answers using the simulation.</w:t>
      </w:r>
    </w:p>
    <w:p w:rsidR="00622229" w:rsidRDefault="00622229" w:rsidP="004E0736">
      <w:pPr>
        <w:spacing w:after="0" w:line="240" w:lineRule="auto"/>
      </w:pPr>
    </w:p>
    <w:p w:rsidR="00622229" w:rsidRDefault="00622229" w:rsidP="004E0736">
      <w:pPr>
        <w:spacing w:after="0" w:line="240" w:lineRule="auto"/>
      </w:pPr>
      <w:r>
        <w:t>Answer True or False:</w:t>
      </w:r>
    </w:p>
    <w:p w:rsidR="00622229" w:rsidRDefault="00622229" w:rsidP="004E0736">
      <w:pPr>
        <w:spacing w:after="0" w:line="240" w:lineRule="auto"/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0"/>
        <w:gridCol w:w="8550"/>
      </w:tblGrid>
      <w:tr w:rsidR="00622229" w:rsidTr="000C7C2D">
        <w:trPr>
          <w:trHeight w:val="432"/>
        </w:trPr>
        <w:tc>
          <w:tcPr>
            <w:tcW w:w="805" w:type="dxa"/>
          </w:tcPr>
          <w:p w:rsidR="00622229" w:rsidRDefault="00622229" w:rsidP="004E0736">
            <w:pPr>
              <w:jc w:val="center"/>
            </w:pPr>
            <w:r>
              <w:t>T</w:t>
            </w:r>
          </w:p>
        </w:tc>
        <w:tc>
          <w:tcPr>
            <w:tcW w:w="810" w:type="dxa"/>
          </w:tcPr>
          <w:p w:rsidR="00622229" w:rsidRDefault="00622229" w:rsidP="004E0736">
            <w:pPr>
              <w:jc w:val="center"/>
            </w:pPr>
            <w:r>
              <w:t>F</w:t>
            </w:r>
          </w:p>
        </w:tc>
        <w:tc>
          <w:tcPr>
            <w:tcW w:w="8550" w:type="dxa"/>
          </w:tcPr>
          <w:p w:rsidR="00622229" w:rsidRDefault="00622229" w:rsidP="004E0736">
            <w:r>
              <w:t>Having more moles of solute definitely means a higher concentration (molarity) solution</w:t>
            </w:r>
          </w:p>
        </w:tc>
      </w:tr>
      <w:tr w:rsidR="000C7C2D" w:rsidTr="000C7C2D">
        <w:trPr>
          <w:trHeight w:val="432"/>
        </w:trPr>
        <w:tc>
          <w:tcPr>
            <w:tcW w:w="805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10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550" w:type="dxa"/>
          </w:tcPr>
          <w:p w:rsidR="000C7C2D" w:rsidRDefault="000C7C2D" w:rsidP="004E0736">
            <w:r>
              <w:t>Explain:</w:t>
            </w:r>
          </w:p>
          <w:p w:rsidR="000C7C2D" w:rsidRDefault="000C7C2D" w:rsidP="004E0736"/>
          <w:p w:rsidR="000C7C2D" w:rsidRDefault="000C7C2D" w:rsidP="004E0736"/>
        </w:tc>
      </w:tr>
      <w:tr w:rsidR="00622229" w:rsidTr="000C7C2D">
        <w:trPr>
          <w:trHeight w:val="432"/>
        </w:trPr>
        <w:tc>
          <w:tcPr>
            <w:tcW w:w="805" w:type="dxa"/>
          </w:tcPr>
          <w:p w:rsidR="00622229" w:rsidRDefault="00622229" w:rsidP="004E0736">
            <w:pPr>
              <w:jc w:val="center"/>
            </w:pPr>
            <w:r>
              <w:t>T</w:t>
            </w:r>
          </w:p>
        </w:tc>
        <w:tc>
          <w:tcPr>
            <w:tcW w:w="810" w:type="dxa"/>
          </w:tcPr>
          <w:p w:rsidR="00622229" w:rsidRDefault="00622229" w:rsidP="004E0736">
            <w:pPr>
              <w:jc w:val="center"/>
            </w:pPr>
            <w:r>
              <w:t>F</w:t>
            </w:r>
          </w:p>
        </w:tc>
        <w:tc>
          <w:tcPr>
            <w:tcW w:w="8550" w:type="dxa"/>
          </w:tcPr>
          <w:p w:rsidR="00622229" w:rsidRDefault="00622229" w:rsidP="004E0736">
            <w:r>
              <w:t>Having a greater volume definitely means a lower concentration (molarity) solution</w:t>
            </w:r>
          </w:p>
        </w:tc>
      </w:tr>
      <w:tr w:rsidR="000C7C2D" w:rsidTr="000C7C2D">
        <w:trPr>
          <w:trHeight w:val="432"/>
        </w:trPr>
        <w:tc>
          <w:tcPr>
            <w:tcW w:w="805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10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550" w:type="dxa"/>
          </w:tcPr>
          <w:p w:rsidR="000C7C2D" w:rsidRDefault="000C7C2D" w:rsidP="004E0736">
            <w:r>
              <w:t>Explain:</w:t>
            </w:r>
          </w:p>
          <w:p w:rsidR="000C7C2D" w:rsidRDefault="000C7C2D" w:rsidP="004E0736"/>
          <w:p w:rsidR="000C7C2D" w:rsidRDefault="000C7C2D" w:rsidP="004E0736"/>
        </w:tc>
      </w:tr>
      <w:tr w:rsidR="00622229" w:rsidTr="000C7C2D">
        <w:trPr>
          <w:trHeight w:val="432"/>
        </w:trPr>
        <w:tc>
          <w:tcPr>
            <w:tcW w:w="805" w:type="dxa"/>
          </w:tcPr>
          <w:p w:rsidR="00622229" w:rsidRDefault="00622229" w:rsidP="004E0736">
            <w:pPr>
              <w:jc w:val="center"/>
            </w:pPr>
            <w:r>
              <w:t>T</w:t>
            </w:r>
          </w:p>
        </w:tc>
        <w:tc>
          <w:tcPr>
            <w:tcW w:w="810" w:type="dxa"/>
          </w:tcPr>
          <w:p w:rsidR="00622229" w:rsidRDefault="00622229" w:rsidP="004E0736">
            <w:pPr>
              <w:jc w:val="center"/>
            </w:pPr>
            <w:r>
              <w:t>F</w:t>
            </w:r>
          </w:p>
        </w:tc>
        <w:tc>
          <w:tcPr>
            <w:tcW w:w="8550" w:type="dxa"/>
          </w:tcPr>
          <w:p w:rsidR="00622229" w:rsidRDefault="000C7C2D" w:rsidP="004E0736">
            <w:r>
              <w:t>With a given number of moles of solvent, the solution will always have the same concentration</w:t>
            </w:r>
          </w:p>
          <w:p w:rsidR="000C7C2D" w:rsidRDefault="000C7C2D" w:rsidP="004E0736"/>
        </w:tc>
      </w:tr>
      <w:tr w:rsidR="000C7C2D" w:rsidTr="000C7C2D">
        <w:trPr>
          <w:trHeight w:val="432"/>
        </w:trPr>
        <w:tc>
          <w:tcPr>
            <w:tcW w:w="805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10" w:type="dxa"/>
          </w:tcPr>
          <w:p w:rsidR="000C7C2D" w:rsidRDefault="000C7C2D" w:rsidP="004E0736">
            <w:pPr>
              <w:jc w:val="center"/>
            </w:pPr>
          </w:p>
        </w:tc>
        <w:tc>
          <w:tcPr>
            <w:tcW w:w="8550" w:type="dxa"/>
          </w:tcPr>
          <w:p w:rsidR="000C7C2D" w:rsidRDefault="000C7C2D" w:rsidP="004E0736">
            <w:r>
              <w:t>Explain:</w:t>
            </w:r>
          </w:p>
          <w:p w:rsidR="000C7C2D" w:rsidRDefault="000C7C2D" w:rsidP="004E0736"/>
          <w:p w:rsidR="000C7C2D" w:rsidRDefault="000C7C2D" w:rsidP="004E0736"/>
        </w:tc>
      </w:tr>
    </w:tbl>
    <w:p w:rsidR="00C1575A" w:rsidRDefault="00C1575A" w:rsidP="00C1575A">
      <w:pPr>
        <w:spacing w:after="0"/>
      </w:pPr>
      <w:r>
        <w:rPr>
          <w:u w:val="single"/>
        </w:rPr>
        <w:lastRenderedPageBreak/>
        <w:t>Calculating Grams</w:t>
      </w:r>
    </w:p>
    <w:p w:rsidR="00C1575A" w:rsidRDefault="00C1575A" w:rsidP="00C1575A">
      <w:pPr>
        <w:spacing w:after="0"/>
      </w:pPr>
    </w:p>
    <w:p w:rsidR="00C1575A" w:rsidRDefault="00C1575A" w:rsidP="00C1575A">
      <w:pPr>
        <w:spacing w:after="0"/>
      </w:pPr>
      <w:r>
        <w:t xml:space="preserve">If you wanted to make 0.800 Liters of a 0.531 M solution of </w:t>
      </w:r>
      <w:proofErr w:type="gramStart"/>
      <w:r>
        <w:t>Nickel(</w:t>
      </w:r>
      <w:proofErr w:type="gramEnd"/>
      <w:r>
        <w:t xml:space="preserve">II) chloride, </w:t>
      </w:r>
      <w:proofErr w:type="spellStart"/>
      <w:r>
        <w:t>NiCl</w:t>
      </w:r>
      <w:proofErr w:type="spellEnd"/>
      <w:r>
        <w:t xml:space="preserve">₂, how many grams of </w:t>
      </w:r>
      <w:proofErr w:type="spellStart"/>
      <w:r>
        <w:t>NiCl</w:t>
      </w:r>
      <w:proofErr w:type="spellEnd"/>
      <w:r>
        <w:t>₂ would you need?</w:t>
      </w:r>
    </w:p>
    <w:p w:rsidR="00C1575A" w:rsidRDefault="00C1575A" w:rsidP="00C1575A">
      <w:pPr>
        <w:spacing w:after="0"/>
      </w:pPr>
    </w:p>
    <w:p w:rsidR="00C1575A" w:rsidRDefault="00C1575A" w:rsidP="00C1575A">
      <w:pPr>
        <w:spacing w:after="0"/>
      </w:pPr>
      <w:r>
        <w:t xml:space="preserve">A problem like this first requires you to identify how many moles of </w:t>
      </w:r>
      <w:proofErr w:type="spellStart"/>
      <w:r>
        <w:t>NiCl</w:t>
      </w:r>
      <w:proofErr w:type="spellEnd"/>
      <w:r>
        <w:t xml:space="preserve">₂ using a molarity formula, and then to convert that number of moles to grams using the molar mass of </w:t>
      </w:r>
      <w:proofErr w:type="spellStart"/>
      <w:r>
        <w:t>NiCl</w:t>
      </w:r>
      <w:proofErr w:type="spellEnd"/>
      <w:r>
        <w:t>₂.</w:t>
      </w:r>
    </w:p>
    <w:p w:rsidR="00C1575A" w:rsidRDefault="00C1575A" w:rsidP="00C1575A">
      <w:pPr>
        <w:spacing w:after="0"/>
      </w:pPr>
    </w:p>
    <w:p w:rsidR="00C1575A" w:rsidRDefault="00C1575A" w:rsidP="00C1575A">
      <w:pPr>
        <w:spacing w:after="0"/>
      </w:pPr>
      <w:r>
        <w:t>First, identify your known variables (leave one blank):</w:t>
      </w:r>
    </w:p>
    <w:p w:rsidR="00C1575A" w:rsidRDefault="00C1575A" w:rsidP="00C1575A">
      <w:pPr>
        <w:spacing w:after="0"/>
      </w:pPr>
    </w:p>
    <w:p w:rsidR="00C1575A" w:rsidRDefault="00C1575A" w:rsidP="00C1575A">
      <w:pPr>
        <w:spacing w:after="0"/>
        <w:rPr>
          <w:rFonts w:eastAsiaTheme="minorEastAsia"/>
        </w:rPr>
      </w:pPr>
      <m:oMath>
        <m:r>
          <w:rPr>
            <w:rFonts w:ascii="Cambria Math" w:hAnsi="Cambria Math"/>
          </w:rPr>
          <m:t>M=</m:t>
        </m:r>
      </m:oMath>
      <w:r>
        <w:rPr>
          <w:rFonts w:eastAsiaTheme="minorEastAsia"/>
        </w:rPr>
        <w:t xml:space="preserve"> ____________ M</w:t>
      </w:r>
    </w:p>
    <w:p w:rsidR="00C1575A" w:rsidRPr="00CA2CC5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n=</m:t>
        </m:r>
      </m:oMath>
      <w:r>
        <w:rPr>
          <w:rFonts w:eastAsiaTheme="minorEastAsia"/>
        </w:rPr>
        <w:t xml:space="preserve"> ____________ mol</w:t>
      </w:r>
    </w:p>
    <w:p w:rsidR="00C1575A" w:rsidRPr="00CA2CC5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V=</m:t>
        </m:r>
      </m:oMath>
      <w:r>
        <w:rPr>
          <w:rFonts w:eastAsiaTheme="minorEastAsia"/>
        </w:rPr>
        <w:t xml:space="preserve"> ____________ L</w:t>
      </w: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</w:rPr>
        <w:t>Now, circle the version of the molarity equation that would be most easy to work with (with your unknown on the left):</w:t>
      </w:r>
    </w:p>
    <w:p w:rsidR="00C1575A" w:rsidRPr="009C52E2" w:rsidRDefault="00C1575A" w:rsidP="00C1575A">
      <w:pPr>
        <w:spacing w:after="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n=M×V           V=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C1575A" w:rsidRDefault="00C1575A" w:rsidP="00C1575A">
      <w:pPr>
        <w:spacing w:after="0" w:line="240" w:lineRule="auto"/>
      </w:pP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</w:rPr>
        <w:t>Next, use that equation to solve for your unknown value. (show work)</w:t>
      </w: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Now that you know the number of moles, you will need the molar mass of </w:t>
      </w:r>
      <w:proofErr w:type="spellStart"/>
      <w:r>
        <w:rPr>
          <w:rFonts w:eastAsiaTheme="minorEastAsia"/>
        </w:rPr>
        <w:t>NiCl</w:t>
      </w:r>
      <w:proofErr w:type="spellEnd"/>
      <w:r>
        <w:rPr>
          <w:rFonts w:eastAsiaTheme="minorEastAsia"/>
        </w:rPr>
        <w:t xml:space="preserve">₂ to calculate the grams of </w:t>
      </w:r>
      <w:proofErr w:type="spellStart"/>
      <w:r>
        <w:rPr>
          <w:rFonts w:eastAsiaTheme="minorEastAsia"/>
        </w:rPr>
        <w:t>NiCl</w:t>
      </w:r>
      <w:proofErr w:type="spellEnd"/>
      <w:r>
        <w:rPr>
          <w:rFonts w:eastAsiaTheme="minorEastAsia"/>
        </w:rPr>
        <w:t>₂.</w:t>
      </w: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Calculate the molar mass of </w:t>
      </w:r>
      <w:proofErr w:type="spellStart"/>
      <w:r>
        <w:rPr>
          <w:rFonts w:eastAsiaTheme="minorEastAsia"/>
        </w:rPr>
        <w:t>NiCl</w:t>
      </w:r>
      <w:proofErr w:type="spellEnd"/>
      <w:r>
        <w:rPr>
          <w:rFonts w:eastAsiaTheme="minorEastAsia"/>
        </w:rPr>
        <w:t>₂ here, showing your work:</w:t>
      </w: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Now, use the unit cancelling method to determine the grams of </w:t>
      </w:r>
      <w:proofErr w:type="spellStart"/>
      <w:r>
        <w:rPr>
          <w:rFonts w:eastAsiaTheme="minorEastAsia"/>
        </w:rPr>
        <w:t>NiCl</w:t>
      </w:r>
      <w:proofErr w:type="spellEnd"/>
      <w:r>
        <w:rPr>
          <w:rFonts w:eastAsiaTheme="minorEastAsia"/>
        </w:rPr>
        <w:t>₂ required:</w:t>
      </w: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78566" wp14:editId="01C568E2">
                <wp:simplePos x="0" y="0"/>
                <wp:positionH relativeFrom="column">
                  <wp:posOffset>2241550</wp:posOffset>
                </wp:positionH>
                <wp:positionV relativeFrom="paragraph">
                  <wp:posOffset>141605</wp:posOffset>
                </wp:positionV>
                <wp:extent cx="85725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EDA17F" id="Rectangle 4" o:spid="_x0000_s1026" style="position:absolute;margin-left:176.5pt;margin-top:11.15pt;width:67.5pt;height:2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" filled="f" strokecolor="black [3213]" strokeweight="1pt">
                <v:stroke dashstyle="1 1"/>
              </v:rect>
            </w:pict>
          </mc:Fallback>
        </mc:AlternateContent>
      </w:r>
    </w:p>
    <w:p w:rsidR="00C1575A" w:rsidRDefault="00C1575A" w:rsidP="00C1575A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55CE1" wp14:editId="1ED8CEC0">
                <wp:simplePos x="0" y="0"/>
                <wp:positionH relativeFrom="column">
                  <wp:posOffset>203200</wp:posOffset>
                </wp:positionH>
                <wp:positionV relativeFrom="paragraph">
                  <wp:posOffset>160655</wp:posOffset>
                </wp:positionV>
                <wp:extent cx="1111250" cy="3619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82E29" id="Rectangle 2" o:spid="_x0000_s1026" style="position:absolute;margin-left:16pt;margin-top:12.65pt;width:87.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" filled="f" strokecolor="black [3213]" strokeweight="1pt">
                <v:stroke dashstyle="1 1"/>
              </v:rect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07042" wp14:editId="205F80BD">
                <wp:simplePos x="0" y="0"/>
                <wp:positionH relativeFrom="column">
                  <wp:posOffset>2241550</wp:posOffset>
                </wp:positionH>
                <wp:positionV relativeFrom="paragraph">
                  <wp:posOffset>401955</wp:posOffset>
                </wp:positionV>
                <wp:extent cx="857250" cy="3619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B6EF8" id="Rectangle 5" o:spid="_x0000_s1026" style="position:absolute;margin-left:176.5pt;margin-top:31.65pt;width:67.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" filled="f" strokecolor="black [3213]" strokeweight="1pt">
                <v:stroke dashstyle="1 1"/>
              </v:rect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A8BFC" wp14:editId="7D38F44C">
                <wp:simplePos x="0" y="0"/>
                <wp:positionH relativeFrom="column">
                  <wp:posOffset>3905250</wp:posOffset>
                </wp:positionH>
                <wp:positionV relativeFrom="paragraph">
                  <wp:posOffset>186055</wp:posOffset>
                </wp:positionV>
                <wp:extent cx="1111250" cy="3619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305D3" id="Rectangle 3" o:spid="_x0000_s1026" style="position:absolute;margin-left:307.5pt;margin-top:14.65pt;width:87.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" filled="f" strokecolor="black [3213]" strokeweight="1pt">
                <v:stroke dashstyle="1 1"/>
              </v:rect>
            </w:pict>
          </mc:Fallback>
        </mc:AlternateContent>
      </w:r>
    </w:p>
    <w:p w:rsidR="00C1575A" w:rsidRPr="00C1575A" w:rsidRDefault="00C1575A" w:rsidP="00C1575A">
      <w:pPr>
        <w:spacing w:after="0"/>
        <w:ind w:left="7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mol NiC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                          </m:t>
              </m:r>
              <m:r>
                <w:rPr>
                  <w:rFonts w:ascii="Cambria Math" w:eastAsiaTheme="minorEastAsia" w:hAnsi="Cambria Math"/>
                </w:rPr>
                <m:t xml:space="preserve">     </m:t>
              </m:r>
              <m:r>
                <w:rPr>
                  <w:rFonts w:ascii="Cambria Math" w:eastAsiaTheme="minorEastAsia" w:hAnsi="Cambria Math"/>
                </w:rPr>
                <m:t>g NiC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 xml:space="preserve">                           </m:t>
              </m:r>
              <m:r>
                <w:rPr>
                  <w:rFonts w:ascii="Cambria Math" w:eastAsiaTheme="minorEastAsia" w:hAnsi="Cambria Math"/>
                </w:rPr>
                <m:t xml:space="preserve">      </m:t>
              </m:r>
              <m:r>
                <w:rPr>
                  <w:rFonts w:ascii="Cambria Math" w:eastAsiaTheme="minorEastAsia" w:hAnsi="Cambria Math"/>
                </w:rPr>
                <m:t>mol NiC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                                   g NiC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C1575A" w:rsidRDefault="00C1575A" w:rsidP="00C1575A">
      <w:pPr>
        <w:spacing w:after="0"/>
        <w:ind w:left="720"/>
        <w:rPr>
          <w:rFonts w:eastAsiaTheme="minorEastAsia"/>
        </w:rPr>
      </w:pPr>
    </w:p>
    <w:p w:rsidR="00C1575A" w:rsidRDefault="00C1575A" w:rsidP="00C1575A">
      <w:pPr>
        <w:spacing w:after="0"/>
        <w:ind w:left="720"/>
        <w:rPr>
          <w:rFonts w:eastAsiaTheme="minorEastAsia"/>
        </w:rPr>
      </w:pPr>
    </w:p>
    <w:p w:rsidR="00C1575A" w:rsidRPr="00CA2CC5" w:rsidRDefault="00C1575A" w:rsidP="00C1575A">
      <w:pPr>
        <w:spacing w:after="0"/>
        <w:rPr>
          <w:rFonts w:eastAsiaTheme="minorEastAsia"/>
        </w:rPr>
      </w:pPr>
      <w:r>
        <w:t xml:space="preserve">In the simulation, switch the Solute from Drink Mix to </w:t>
      </w:r>
      <w:proofErr w:type="gramStart"/>
      <w:r>
        <w:t>Nickel(</w:t>
      </w:r>
      <w:proofErr w:type="gramEnd"/>
      <w:r>
        <w:t>II) chloride</w:t>
      </w:r>
      <w:r>
        <w:t xml:space="preserve"> by clicking on the box below the beaker. </w:t>
      </w:r>
      <w:r>
        <w:t>Adjust the sliders to c</w:t>
      </w:r>
      <w:r>
        <w:rPr>
          <w:rFonts w:eastAsiaTheme="minorEastAsia"/>
        </w:rPr>
        <w:t>heck your answer with the simulation.</w:t>
      </w:r>
    </w:p>
    <w:p w:rsidR="00C1575A" w:rsidRDefault="00C1575A">
      <w:pPr>
        <w:rPr>
          <w:u w:val="single"/>
        </w:rPr>
      </w:pPr>
      <w:r>
        <w:rPr>
          <w:u w:val="single"/>
        </w:rPr>
        <w:br w:type="page"/>
      </w:r>
    </w:p>
    <w:p w:rsidR="00622229" w:rsidRDefault="00286D2B" w:rsidP="004E0736">
      <w:pPr>
        <w:spacing w:after="0" w:line="240" w:lineRule="auto"/>
      </w:pPr>
      <w:r>
        <w:rPr>
          <w:u w:val="single"/>
        </w:rPr>
        <w:lastRenderedPageBreak/>
        <w:t>Dilution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 xml:space="preserve">Reset the simulation </w:t>
      </w:r>
      <w:r w:rsidR="00C1575A">
        <w:t>and set the quantities at</w:t>
      </w:r>
      <w:r>
        <w:t xml:space="preserve"> 0.250 mol of </w:t>
      </w:r>
      <w:r w:rsidR="00C1575A">
        <w:t>Drink Mix</w:t>
      </w:r>
      <w:r>
        <w:t xml:space="preserve"> in 0.200 L of solution. Enter the molarity in the table below.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 xml:space="preserve">Now we are going to dilute the solution </w:t>
      </w:r>
      <w:r w:rsidRPr="00286D2B">
        <w:rPr>
          <w:b/>
        </w:rPr>
        <w:t xml:space="preserve">only by </w:t>
      </w:r>
      <w:r>
        <w:rPr>
          <w:b/>
        </w:rPr>
        <w:t xml:space="preserve">sliding the second slider and </w:t>
      </w:r>
      <w:r w:rsidRPr="00286D2B">
        <w:rPr>
          <w:b/>
        </w:rPr>
        <w:t>changing the volume</w:t>
      </w:r>
      <w:r>
        <w:t xml:space="preserve"> (adding more water). Complete the first four columns of the table, indicating if the number of moles increased, decreased or remained the same.:</w:t>
      </w:r>
    </w:p>
    <w:p w:rsidR="00286D2B" w:rsidRDefault="00286D2B" w:rsidP="004E0736">
      <w:pPr>
        <w:spacing w:after="0" w:line="240" w:lineRule="auto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4870"/>
        <w:gridCol w:w="1790"/>
      </w:tblGrid>
      <w:tr w:rsidR="00286D2B" w:rsidTr="00286D2B"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moles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Liters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Molarity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Did the moles increase, decrease or stay the same?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</w:t>
            </w:r>
            <w:r>
              <w:t>250</w:t>
            </w:r>
            <w:r>
              <w:t xml:space="preserve"> mol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0.200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0.355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0.426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0.520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0.726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86D2B" w:rsidTr="00C1575A">
        <w:trPr>
          <w:trHeight w:val="864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  <w:r>
              <w:t>0.881 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D2B" w:rsidRDefault="00286D2B" w:rsidP="004E0736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>Now multiply the liters (column 2) by the molarity (column 3) and enter that value in the last column.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>What do you notice?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286D2B" w:rsidRDefault="00286D2B" w:rsidP="004E0736">
      <w:pPr>
        <w:spacing w:after="0" w:line="240" w:lineRule="auto"/>
      </w:pPr>
    </w:p>
    <w:p w:rsidR="00286D2B" w:rsidRDefault="00286D2B" w:rsidP="004E0736">
      <w:pPr>
        <w:spacing w:after="0" w:line="240" w:lineRule="auto"/>
        <w:rPr>
          <w:rFonts w:eastAsiaTheme="minorEastAsia"/>
        </w:rPr>
      </w:pPr>
      <w:r>
        <w:t xml:space="preserve">The Molarity formula can be rearranged to solve for number of moles: </w:t>
      </w:r>
      <m:oMath>
        <m:r>
          <m:rPr>
            <m:sty m:val="bi"/>
          </m:rPr>
          <w:rPr>
            <w:rFonts w:ascii="Cambria Math" w:hAnsi="Cambria Math"/>
          </w:rPr>
          <m:t>n=M×V</m:t>
        </m:r>
      </m:oMath>
      <w:r w:rsidR="00162639">
        <w:rPr>
          <w:rFonts w:eastAsiaTheme="minorEastAsia"/>
        </w:rPr>
        <w:t>.</w:t>
      </w:r>
    </w:p>
    <w:p w:rsidR="00162639" w:rsidRDefault="00162639" w:rsidP="004E0736">
      <w:pPr>
        <w:spacing w:after="0" w:line="240" w:lineRule="auto"/>
      </w:pPr>
    </w:p>
    <w:p w:rsidR="00162639" w:rsidRDefault="00162639" w:rsidP="004E0736">
      <w:pPr>
        <w:spacing w:after="0" w:line="240" w:lineRule="auto"/>
        <w:rPr>
          <w:rFonts w:eastAsiaTheme="minorEastAsia"/>
        </w:rPr>
      </w:pPr>
      <w:r>
        <w:t xml:space="preserve">Notice that diluting the solution results in the same number of moles. Therefore, since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remains the same, the quantity </w:t>
      </w:r>
      <m:oMath>
        <m:r>
          <m:rPr>
            <m:sty m:val="bi"/>
          </m:rPr>
          <w:rPr>
            <w:rFonts w:ascii="Cambria Math" w:eastAsiaTheme="minorEastAsia" w:hAnsi="Cambria Math"/>
          </w:rPr>
          <m:t>M×V</m:t>
        </m:r>
      </m:oMath>
      <w:r>
        <w:rPr>
          <w:rFonts w:eastAsiaTheme="minorEastAsia"/>
        </w:rPr>
        <w:t xml:space="preserve"> will remain constant.</w:t>
      </w:r>
    </w:p>
    <w:p w:rsidR="00162639" w:rsidRDefault="00162639" w:rsidP="004E0736">
      <w:pPr>
        <w:spacing w:after="0" w:line="240" w:lineRule="auto"/>
      </w:pPr>
    </w:p>
    <w:p w:rsidR="00162639" w:rsidRDefault="00162639" w:rsidP="004E0736">
      <w:pPr>
        <w:spacing w:after="0" w:line="240" w:lineRule="auto"/>
      </w:pPr>
      <w:r>
        <w:t>Since this is the case, we can use the following formula for dilutions:</w:t>
      </w:r>
    </w:p>
    <w:p w:rsidR="00162639" w:rsidRDefault="00162639" w:rsidP="004E0736">
      <w:pPr>
        <w:spacing w:after="0" w:line="240" w:lineRule="auto"/>
      </w:pPr>
    </w:p>
    <w:p w:rsidR="00162639" w:rsidRPr="00E36F7F" w:rsidRDefault="00162639" w:rsidP="004E0736">
      <w:pPr>
        <w:spacing w:after="0" w:line="240" w:lineRule="auto"/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162639" w:rsidRDefault="00162639" w:rsidP="004E0736">
      <w:pPr>
        <w:spacing w:after="0" w:line="240" w:lineRule="auto"/>
      </w:pPr>
    </w:p>
    <w:p w:rsidR="00E265F8" w:rsidRDefault="00162639" w:rsidP="004E0736">
      <w:pPr>
        <w:spacing w:after="0" w:line="240" w:lineRule="auto"/>
      </w:pPr>
      <w:r>
        <w:t>The initial molarity times the initial volume equals the new molarity times the new volume.</w:t>
      </w:r>
    </w:p>
    <w:p w:rsidR="00C1575A" w:rsidRDefault="00C1575A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4E0736" w:rsidRPr="00E36F7F" w:rsidRDefault="004E0736" w:rsidP="004E0736">
      <w:pPr>
        <w:spacing w:after="0" w:line="240" w:lineRule="auto"/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4E0736" w:rsidRDefault="004E0736" w:rsidP="004E0736">
      <w:pPr>
        <w:spacing w:after="0" w:line="240" w:lineRule="auto"/>
      </w:pPr>
    </w:p>
    <w:p w:rsidR="00162639" w:rsidRDefault="007850F4" w:rsidP="004E0736">
      <w:pPr>
        <w:spacing w:after="0"/>
      </w:pPr>
      <w:r>
        <w:t>Calculate the missing quantities in the table</w:t>
      </w:r>
    </w:p>
    <w:p w:rsidR="004E0736" w:rsidRDefault="004E0736" w:rsidP="004E0736">
      <w:pPr>
        <w:spacing w:after="0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</w:tblGrid>
      <w:tr w:rsidR="007850F4" w:rsidTr="007850F4">
        <w:tc>
          <w:tcPr>
            <w:tcW w:w="2014" w:type="dxa"/>
          </w:tcPr>
          <w:p w:rsidR="007850F4" w:rsidRDefault="007850F4" w:rsidP="004E0736">
            <w:pPr>
              <w:jc w:val="center"/>
            </w:pPr>
            <w:r>
              <w:t>Initial Molarity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M₁</m:t>
              </m:r>
            </m:oMath>
            <w:r>
              <w:t>)</w:t>
            </w:r>
          </w:p>
        </w:tc>
        <w:tc>
          <w:tcPr>
            <w:tcW w:w="2014" w:type="dxa"/>
          </w:tcPr>
          <w:p w:rsidR="007850F4" w:rsidRDefault="007850F4" w:rsidP="004E0736">
            <w:pPr>
              <w:jc w:val="center"/>
            </w:pPr>
            <w:r>
              <w:t>Initial Volume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V₁</m:t>
              </m:r>
            </m:oMath>
            <w:r>
              <w:t>)</w:t>
            </w:r>
          </w:p>
        </w:tc>
        <w:tc>
          <w:tcPr>
            <w:tcW w:w="2014" w:type="dxa"/>
          </w:tcPr>
          <w:p w:rsidR="007850F4" w:rsidRDefault="007850F4" w:rsidP="004E0736">
            <w:pPr>
              <w:jc w:val="center"/>
            </w:pPr>
            <w:r>
              <w:t>Final Molarity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M₂</m:t>
              </m:r>
            </m:oMath>
            <w:r>
              <w:t>)</w:t>
            </w:r>
          </w:p>
        </w:tc>
        <w:tc>
          <w:tcPr>
            <w:tcW w:w="2014" w:type="dxa"/>
          </w:tcPr>
          <w:p w:rsidR="007850F4" w:rsidRDefault="007850F4" w:rsidP="004E0736">
            <w:pPr>
              <w:jc w:val="center"/>
            </w:pPr>
            <w:r>
              <w:t>Final Volume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V₂</m:t>
              </m:r>
            </m:oMath>
            <w:r>
              <w:t>)</w:t>
            </w:r>
          </w:p>
        </w:tc>
      </w:tr>
      <w:tr w:rsidR="007850F4" w:rsidTr="00DB3859">
        <w:trPr>
          <w:trHeight w:val="432"/>
        </w:trPr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2.000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0.500 L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1.00 L</w:t>
            </w:r>
          </w:p>
        </w:tc>
      </w:tr>
      <w:tr w:rsidR="007850F4" w:rsidTr="00365FB7">
        <w:trPr>
          <w:trHeight w:val="432"/>
        </w:trPr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2.500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0.200 L</w:t>
            </w:r>
          </w:p>
        </w:tc>
        <w:tc>
          <w:tcPr>
            <w:tcW w:w="2014" w:type="dxa"/>
            <w:vAlign w:val="center"/>
          </w:tcPr>
          <w:p w:rsidR="007850F4" w:rsidRDefault="004E0736" w:rsidP="004E0736">
            <w:pPr>
              <w:jc w:val="center"/>
            </w:pPr>
            <w:r>
              <w:t>0.500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</w:p>
        </w:tc>
      </w:tr>
      <w:tr w:rsidR="007850F4" w:rsidTr="00086E7B">
        <w:trPr>
          <w:trHeight w:val="432"/>
        </w:trPr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0.215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0.785 L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0.897 L</w:t>
            </w:r>
          </w:p>
        </w:tc>
      </w:tr>
      <w:tr w:rsidR="007850F4" w:rsidTr="007850F4">
        <w:trPr>
          <w:trHeight w:val="432"/>
        </w:trPr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1.941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0.306 L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0.832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</w:p>
        </w:tc>
      </w:tr>
      <w:tr w:rsidR="007850F4" w:rsidTr="007850F4">
        <w:trPr>
          <w:trHeight w:val="432"/>
        </w:trPr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2.280 M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0.368 L</w:t>
            </w: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</w:p>
        </w:tc>
        <w:tc>
          <w:tcPr>
            <w:tcW w:w="2014" w:type="dxa"/>
            <w:vAlign w:val="center"/>
          </w:tcPr>
          <w:p w:rsidR="007850F4" w:rsidRDefault="007850F4" w:rsidP="004E0736">
            <w:pPr>
              <w:jc w:val="center"/>
            </w:pPr>
            <w:r>
              <w:t>0.562 L</w:t>
            </w:r>
          </w:p>
        </w:tc>
      </w:tr>
    </w:tbl>
    <w:p w:rsidR="007850F4" w:rsidRDefault="007850F4" w:rsidP="004E0736">
      <w:pPr>
        <w:spacing w:after="0"/>
      </w:pPr>
    </w:p>
    <w:p w:rsidR="007850F4" w:rsidRDefault="007850F4" w:rsidP="004E0736">
      <w:pPr>
        <w:spacing w:after="0"/>
      </w:pPr>
      <w:r>
        <w:t>Now check your answers with the simulation</w:t>
      </w:r>
    </w:p>
    <w:p w:rsidR="004E0736" w:rsidRDefault="004E0736" w:rsidP="004E0736">
      <w:pPr>
        <w:spacing w:after="0" w:line="240" w:lineRule="auto"/>
        <w:rPr>
          <w:u w:val="single"/>
        </w:rPr>
      </w:pPr>
    </w:p>
    <w:p w:rsidR="004E0736" w:rsidRDefault="004E0736" w:rsidP="004E0736">
      <w:pPr>
        <w:spacing w:after="0" w:line="240" w:lineRule="auto"/>
        <w:rPr>
          <w:u w:val="single"/>
        </w:rPr>
      </w:pPr>
      <w:r>
        <w:rPr>
          <w:u w:val="single"/>
        </w:rPr>
        <w:t>Saturated Solutions</w:t>
      </w:r>
    </w:p>
    <w:p w:rsidR="004E0736" w:rsidRDefault="004E0736" w:rsidP="004E0736">
      <w:pPr>
        <w:spacing w:after="0"/>
        <w:rPr>
          <w:u w:val="single"/>
        </w:rPr>
      </w:pPr>
    </w:p>
    <w:p w:rsidR="004E0736" w:rsidRDefault="004E0736" w:rsidP="004E0736">
      <w:pPr>
        <w:spacing w:after="0"/>
      </w:pPr>
      <w:r>
        <w:t xml:space="preserve">In the simulation, switch the Solute from Drink Mix to </w:t>
      </w:r>
      <w:proofErr w:type="gramStart"/>
      <w:r>
        <w:t>Copper(</w:t>
      </w:r>
      <w:proofErr w:type="gramEnd"/>
      <w:r>
        <w:t>II) sulfate by clicking on the box below the beaker. Adjust both sliders to the bottom so that you have 0.000 moles and 0.200 L.</w:t>
      </w:r>
    </w:p>
    <w:p w:rsidR="004E0736" w:rsidRDefault="004E0736" w:rsidP="004E0736">
      <w:pPr>
        <w:spacing w:after="0"/>
      </w:pPr>
    </w:p>
    <w:p w:rsidR="004E0736" w:rsidRDefault="004E0736" w:rsidP="004E0736">
      <w:pPr>
        <w:spacing w:after="0"/>
      </w:pPr>
      <w:r>
        <w:t>Slowly raise only the Solute Amount by (about) 0.070 moles and watch the Solution Concentration change.</w:t>
      </w:r>
    </w:p>
    <w:p w:rsidR="004E0736" w:rsidRDefault="004E0736" w:rsidP="004E0736">
      <w:pPr>
        <w:spacing w:after="0"/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525"/>
        <w:gridCol w:w="1440"/>
      </w:tblGrid>
      <w:tr w:rsidR="004E0736" w:rsidTr="004E0736"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moles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  <w:r>
              <w:t>Molarity (M)</w:t>
            </w: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0.000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  <w:r>
              <w:t xml:space="preserve">0.000 </w:t>
            </w: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0.071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0.140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0.209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0.280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0.349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  <w:tr w:rsidR="004E0736" w:rsidTr="004E0736">
        <w:trPr>
          <w:trHeight w:val="432"/>
        </w:trPr>
        <w:tc>
          <w:tcPr>
            <w:tcW w:w="1525" w:type="dxa"/>
            <w:vAlign w:val="center"/>
          </w:tcPr>
          <w:p w:rsidR="004E0736" w:rsidRDefault="004E0736" w:rsidP="004E0736">
            <w:pPr>
              <w:jc w:val="center"/>
            </w:pPr>
            <w:r>
              <w:t>0.420</w:t>
            </w:r>
          </w:p>
        </w:tc>
        <w:tc>
          <w:tcPr>
            <w:tcW w:w="1440" w:type="dxa"/>
            <w:vAlign w:val="center"/>
          </w:tcPr>
          <w:p w:rsidR="004E0736" w:rsidRDefault="004E0736" w:rsidP="004E0736">
            <w:pPr>
              <w:jc w:val="center"/>
            </w:pPr>
          </w:p>
        </w:tc>
      </w:tr>
    </w:tbl>
    <w:p w:rsidR="004E0736" w:rsidRDefault="004E0736" w:rsidP="004E0736">
      <w:pPr>
        <w:spacing w:after="0"/>
      </w:pPr>
    </w:p>
    <w:p w:rsidR="004E0736" w:rsidRDefault="004E0736" w:rsidP="004E0736">
      <w:pPr>
        <w:spacing w:after="0"/>
      </w:pPr>
      <w:r>
        <w:t>Does the molarity continue to change? Why or why not?</w:t>
      </w:r>
    </w:p>
    <w:p w:rsidR="004E0736" w:rsidRDefault="004E0736" w:rsidP="004E0736">
      <w:pPr>
        <w:spacing w:after="0" w:line="240" w:lineRule="auto"/>
      </w:pPr>
    </w:p>
    <w:p w:rsidR="004E0736" w:rsidRDefault="004E0736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4E0736" w:rsidRDefault="004E0736" w:rsidP="004E0736">
      <w:pPr>
        <w:spacing w:after="0" w:line="240" w:lineRule="auto"/>
      </w:pPr>
    </w:p>
    <w:p w:rsidR="004E0736" w:rsidRDefault="004E0736" w:rsidP="004E0736">
      <w:pPr>
        <w:spacing w:after="0" w:line="240" w:lineRule="auto"/>
      </w:pPr>
      <w:r>
        <w:t>___________________________________________________________________________________________</w:t>
      </w:r>
    </w:p>
    <w:p w:rsidR="004E0736" w:rsidRDefault="004E0736" w:rsidP="004E0736">
      <w:pPr>
        <w:spacing w:after="0"/>
      </w:pPr>
    </w:p>
    <w:p w:rsidR="004E0736" w:rsidRDefault="004E0736" w:rsidP="004E0736">
      <w:pPr>
        <w:spacing w:after="0"/>
      </w:pPr>
      <w:r>
        <w:t xml:space="preserve">What do you notice on the bottom of the container as you continue to </w:t>
      </w:r>
      <w:r w:rsidR="00CA2CC5">
        <w:t>add additional solute to the container?</w:t>
      </w:r>
    </w:p>
    <w:p w:rsidR="00CA2CC5" w:rsidRDefault="00CA2CC5" w:rsidP="00CA2CC5">
      <w:pPr>
        <w:spacing w:after="0" w:line="240" w:lineRule="auto"/>
      </w:pPr>
    </w:p>
    <w:p w:rsidR="00CA2CC5" w:rsidRDefault="00CA2CC5" w:rsidP="00CA2CC5">
      <w:pPr>
        <w:spacing w:after="0" w:line="240" w:lineRule="auto"/>
      </w:pPr>
      <w:r>
        <w:t>___________________________________________________________________________________________</w:t>
      </w:r>
    </w:p>
    <w:p w:rsidR="00CA2CC5" w:rsidRDefault="00CA2CC5" w:rsidP="00CA2CC5">
      <w:pPr>
        <w:spacing w:after="0" w:line="240" w:lineRule="auto"/>
      </w:pPr>
    </w:p>
    <w:p w:rsidR="00CA2CC5" w:rsidRDefault="00CA2CC5" w:rsidP="00CA2CC5">
      <w:pPr>
        <w:spacing w:after="0" w:line="240" w:lineRule="auto"/>
      </w:pPr>
      <w:r>
        <w:t>___________________________________________________________________________________________</w:t>
      </w:r>
    </w:p>
    <w:p w:rsidR="00CA2CC5" w:rsidRDefault="00CA2CC5">
      <w:bookmarkStart w:id="0" w:name="_GoBack"/>
      <w:bookmarkEnd w:id="0"/>
    </w:p>
    <w:sectPr w:rsidR="00CA2CC5" w:rsidSect="00470C9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2EEA"/>
    <w:multiLevelType w:val="hybridMultilevel"/>
    <w:tmpl w:val="27F0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5C5"/>
    <w:multiLevelType w:val="hybridMultilevel"/>
    <w:tmpl w:val="580E9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53"/>
    <w:rsid w:val="000C7C2D"/>
    <w:rsid w:val="000E3953"/>
    <w:rsid w:val="00162639"/>
    <w:rsid w:val="00286D2B"/>
    <w:rsid w:val="0041349B"/>
    <w:rsid w:val="00470C96"/>
    <w:rsid w:val="00483531"/>
    <w:rsid w:val="004E0736"/>
    <w:rsid w:val="00622229"/>
    <w:rsid w:val="007850F4"/>
    <w:rsid w:val="009C52E2"/>
    <w:rsid w:val="00BD38CA"/>
    <w:rsid w:val="00C1575A"/>
    <w:rsid w:val="00CA2CC5"/>
    <w:rsid w:val="00E265F8"/>
    <w:rsid w:val="00E36F7F"/>
    <w:rsid w:val="00E844FF"/>
    <w:rsid w:val="00EB7356"/>
    <w:rsid w:val="00F240CD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5498"/>
  <w15:chartTrackingRefBased/>
  <w15:docId w15:val="{987FAFE6-1F41-4BFD-85C5-7E36FEDE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9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953"/>
    <w:pPr>
      <w:ind w:left="720"/>
      <w:contextualSpacing/>
    </w:pPr>
  </w:style>
  <w:style w:type="table" w:styleId="TableGrid">
    <w:name w:val="Table Grid"/>
    <w:basedOn w:val="TableNormal"/>
    <w:uiPriority w:val="39"/>
    <w:rsid w:val="00BD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73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molar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Becke, Christopher</dc:creator>
  <cp:keywords/>
  <dc:description/>
  <cp:lastModifiedBy>Becke, Christopher</cp:lastModifiedBy>
  <cp:revision>4</cp:revision>
  <dcterms:created xsi:type="dcterms:W3CDTF">2020-03-02T17:30:00Z</dcterms:created>
  <dcterms:modified xsi:type="dcterms:W3CDTF">2020-03-03T17:39:00Z</dcterms:modified>
</cp:coreProperties>
</file>