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 Border Problem</w:t>
        <w:tab/>
        <w:tab/>
        <w:tab/>
        <w:tab/>
        <w:tab/>
        <w:tab/>
        <w:tab/>
        <w:t xml:space="preserve">Name: _________________________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Learning Goals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Describe border growth in different ways.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Write about the border’s growth.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Use variables to create different, but equal, algebraic expressions.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Phet Link: </w:t>
      </w:r>
      <w:hyperlink r:id="rId6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https://phet.colorado.edu/sims/html/area-builder/latest/area-builder_en.html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Open Explore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: Take some time to play around with it. What are 3 things that you notice?</w:t>
      </w:r>
    </w:p>
    <w:p w:rsidR="00000000" w:rsidDel="00000000" w:rsidP="00000000" w:rsidRDefault="00000000" w:rsidRPr="00000000" w14:paraId="0000000B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480" w:lineRule="auto"/>
        <w:ind w:left="144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480" w:lineRule="auto"/>
        <w:ind w:left="144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480" w:lineRule="auto"/>
        <w:ind w:left="144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Using the smaller colored squares, create three larger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squares </w:t>
      </w:r>
    </w:p>
    <w:tbl>
      <w:tblPr>
        <w:tblStyle w:val="Table1"/>
        <w:tblW w:w="1008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2520"/>
        <w:gridCol w:w="2775"/>
        <w:gridCol w:w="2265"/>
        <w:tblGridChange w:id="0">
          <w:tblGrid>
            <w:gridCol w:w="2520"/>
            <w:gridCol w:w="2520"/>
            <w:gridCol w:w="2775"/>
            <w:gridCol w:w="22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Side Length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Border (not perimeter!)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Picture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Where do you see the area in your shapes?</w:t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Where do you see the border in your shapes?</w:t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Without using the sim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, write a </w:t>
      </w: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description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for calculating the border of a square that is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10 x 1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0?  </w:t>
      </w:r>
    </w:p>
    <w:p w:rsidR="00000000" w:rsidDel="00000000" w:rsidP="00000000" w:rsidRDefault="00000000" w:rsidRPr="00000000" w14:paraId="00000031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</w:rPr>
        <w:drawing>
          <wp:inline distB="114300" distT="114300" distL="114300" distR="114300">
            <wp:extent cx="385763" cy="25074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250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Compare your results from questions 4-5 with your partner and </w:t>
      </w:r>
      <w:r w:rsidDel="00000000" w:rsidR="00000000" w:rsidRPr="00000000">
        <w:rPr>
          <w:rFonts w:ascii="Comic Sans MS" w:cs="Comic Sans MS" w:eastAsia="Comic Sans MS" w:hAnsi="Comic Sans MS"/>
          <w:b w:val="1"/>
        </w:rPr>
        <w:drawing>
          <wp:inline distB="114300" distT="114300" distL="114300" distR="114300">
            <wp:extent cx="335066" cy="33506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066" cy="335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Write down two different strategies for finding the border from the white board:</w:t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Quick Write!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What is a variable?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What is an expression?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How can we rewrite any border strategy above using variables?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Rewrite the two strategies above using variables:</w:t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With some algebraic manipulation, each strategy is equivalent to: ___________________________</w:t>
      </w:r>
    </w:p>
    <w:p w:rsidR="00000000" w:rsidDel="00000000" w:rsidP="00000000" w:rsidRDefault="00000000" w:rsidRPr="00000000" w14:paraId="0000005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48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Using the expression above, calculate the border of a 75 x 75 square:</w:t>
      </w:r>
    </w:p>
    <w:p w:rsidR="00000000" w:rsidDel="00000000" w:rsidP="00000000" w:rsidRDefault="00000000" w:rsidRPr="00000000" w14:paraId="0000005B">
      <w:pPr>
        <w:spacing w:line="48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48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48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Challenge:  </w:t>
      </w:r>
    </w:p>
    <w:p w:rsidR="00000000" w:rsidDel="00000000" w:rsidP="00000000" w:rsidRDefault="00000000" w:rsidRPr="00000000" w14:paraId="0000005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Using words, numbers and variables, describe the pattern for the blue squares shown in the squares:</w:t>
      </w:r>
      <w:r w:rsidDel="00000000" w:rsidR="00000000" w:rsidRPr="00000000">
        <w:rPr>
          <w:rFonts w:ascii="Comic Sans MS" w:cs="Comic Sans MS" w:eastAsia="Comic Sans MS" w:hAnsi="Comic Sans MS"/>
        </w:rPr>
        <w:drawing>
          <wp:inline distB="114300" distT="114300" distL="114300" distR="114300">
            <wp:extent cx="1552575" cy="15335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</w:rPr>
        <w:drawing>
          <wp:inline distB="114300" distT="114300" distL="114300" distR="114300">
            <wp:extent cx="1452563" cy="146211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4621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1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area-builder/latest/area-builder_en.html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