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SECRETARIA DE EDUCACIÓN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  <w:tab/>
        <w:t xml:space="preserve">SUBSECRETARÍA DE EDUCACIÓN BÁSICA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</w:t>
        <w:tab/>
        <w:t xml:space="preserve">DIRECCIÓN DE EDUCACIÓN BÁSICA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  <w:tab/>
        <w:t xml:space="preserve">   DEPARTAMENTO DE EDUCACIÓN SECUNDARIAS TÉCNICAS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  <w:tab/>
        <w:t xml:space="preserve">      </w:t>
        <w:tab/>
        <w:t xml:space="preserve">ESCUELA SECUNDARIA TÉCNICAS No. 17 y No. 33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 PHET EN CAMPECHE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Ing. Andrés Gualberto Palomo Cuevas, Lic. Brisa Ximena Aguilar Castillejos.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elpalomo18@gmail.com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quepry@gmail.com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1"/>
        <w:gridCol w:w="7447"/>
        <w:tblGridChange w:id="0">
          <w:tblGrid>
            <w:gridCol w:w="1381"/>
            <w:gridCol w:w="7447"/>
          </w:tblGrid>
        </w:tblGridChange>
      </w:tblGrid>
      <w:tr>
        <w:tc>
          <w:tcPr>
            <w:shd w:fill="ffc000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CAMPO FORMATIVO</w:t>
            </w:r>
          </w:p>
        </w:tc>
        <w:tc>
          <w:tcPr>
            <w:shd w:fill="8db3e2"/>
          </w:tcPr>
          <w:p w:rsidR="00000000" w:rsidDel="00000000" w:rsidP="00000000" w:rsidRDefault="00000000" w:rsidRPr="00000000">
            <w:pPr>
              <w:pBdr/>
              <w:tabs>
                <w:tab w:val="left" w:pos="2949"/>
              </w:tabs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Cambio e interacciones en fenómenos y procesos físicos.</w:t>
            </w:r>
          </w:p>
        </w:tc>
      </w:tr>
      <w:tr>
        <w:tc>
          <w:tcPr>
            <w:shd w:fill="ff3399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BLOQUE 4 </w:t>
            </w:r>
          </w:p>
        </w:tc>
        <w:tc>
          <w:tcPr>
            <w:shd w:fill="00cc66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MANIFESTACIONES DE LA ESTRUCTURA INTERNA DE LA MATERIA </w:t>
            </w:r>
          </w:p>
        </w:tc>
      </w:tr>
      <w:tr>
        <w:tc>
          <w:tcPr>
            <w:gridSpan w:val="2"/>
            <w:shd w:fill="f2dbdb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 histórico del desarrollo del modelo atómico: aportaciones de Thomson, Rutherford y Bohr; alcances y limitaciones de los modelos.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NOMBRE DEL ALUMNO: __________________________________GRADO:_______GRUPO:______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PROPOSITOS:</w:t>
      </w:r>
    </w:p>
    <w:p w:rsidR="00000000" w:rsidDel="00000000" w:rsidP="00000000" w:rsidRDefault="00000000" w:rsidRPr="00000000">
      <w:pPr>
        <w:pBdr/>
        <w:contextualSpacing w:val="0"/>
        <w:rPr>
          <w:color w:val="ff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tl w:val="0"/>
        </w:rPr>
        <w:t xml:space="preserve">Describe la constitución básica del átomo y las características de sus componentes con el fin de explicar algunos efectos de las interacciones electrostáticas en actividades experimentales y/o en situaciones cotidianas.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DIAGNOSTICO </w:t>
      </w:r>
    </w:p>
    <w:tbl>
      <w:tblPr>
        <w:tblStyle w:val="Table2"/>
        <w:bidiVisual w:val="0"/>
        <w:tblW w:w="88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¿Qué se acerca del tema?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¿Qué quiero aprender?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Usa el simulador Phet “Globos y Electricidad Estática” en tu computadora </w:t>
      </w: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y responde lo que se te pida: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Selecciona la opción con el  globo de color amarillo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Acerca el globo al sweater y frota varias veces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Explica </w:t>
      </w:r>
      <w:r w:rsidDel="00000000" w:rsidR="00000000" w:rsidRPr="00000000">
        <w:rPr>
          <w:sz w:val="24"/>
          <w:szCs w:val="24"/>
          <w:rtl w:val="0"/>
        </w:rPr>
        <w:t xml:space="preserve">qué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sucede con las cargas eléctricas que se visualizan:</w:t>
      </w:r>
    </w:p>
    <w:tbl>
      <w:tblPr>
        <w:tblStyle w:val="Table3"/>
        <w:bidiVisual w:val="0"/>
        <w:tblW w:w="835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2410"/>
        <w:gridCol w:w="3686"/>
        <w:tblGridChange w:id="0">
          <w:tblGrid>
            <w:gridCol w:w="2263"/>
            <w:gridCol w:w="2410"/>
            <w:gridCol w:w="368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En globo: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En el sweater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Explica que sucede en el simulador cuando: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Protones: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Protones: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Acerca el globo cargado negativamente a la pared: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Electrones: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Electrones: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Acerca el globo con carga neutra a la pared: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4.- Selecciona la opción donde puedes interactuar con dos globos y ahora frota los dos con el sweater: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5: Observa y escribe </w:t>
      </w:r>
      <w:r w:rsidDel="00000000" w:rsidR="00000000" w:rsidRPr="00000000">
        <w:rPr>
          <w:sz w:val="24"/>
          <w:szCs w:val="24"/>
          <w:rtl w:val="0"/>
        </w:rPr>
        <w:t xml:space="preserve">qué</w:t>
      </w: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 sucede cuando: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835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2410"/>
        <w:gridCol w:w="3686"/>
        <w:tblGridChange w:id="0">
          <w:tblGrid>
            <w:gridCol w:w="2263"/>
            <w:gridCol w:w="2410"/>
            <w:gridCol w:w="368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Juntas el globo verde con el amarillo: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En el sweater cuando acercas los globos: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En el muro  cuando acercas los globos: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¿Por qué sucede esto?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¿Por qué sucede esto?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CONCLUSION 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6.- Explica brevemente a manera de concluir… ¿Cómo nos ayuda este conocimiento de las cargas eléctricas en los artículos cotidianos que utilizamos?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drawing>
        <wp:inline distB="114300" distT="114300" distL="114300" distR="114300">
          <wp:extent cx="667703" cy="783528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703" cy="7835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inline distB="114300" distT="114300" distL="114300" distR="114300">
          <wp:extent cx="808672" cy="80867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8672" cy="8086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