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pStyle w:val="Header"/>
        <w:tabs>
          <w:tab w:val="clear" w:pos="4320"/>
          <w:tab w:val="clear" w:pos="8640"/>
        </w:tabs>
      </w:pP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  <w:r w:rsidR="0050100C">
        <w:rPr>
          <w:b/>
          <w:bCs/>
        </w:rPr>
        <w:t xml:space="preserve">needs </w:t>
      </w:r>
      <w:bookmarkStart w:id="0" w:name="_GoBack"/>
      <w:bookmarkEnd w:id="0"/>
    </w:p>
    <w:p w:rsidR="00602429" w:rsidRDefault="003653FB" w:rsidP="00602429">
      <w:pPr>
        <w:rPr>
          <w:rFonts w:ascii="Arial" w:hAnsi="Arial" w:cs="Arial"/>
          <w:sz w:val="18"/>
          <w:szCs w:val="18"/>
        </w:rPr>
      </w:pPr>
      <w:r>
        <w:t xml:space="preserve">Students will be able to: </w:t>
      </w:r>
    </w:p>
    <w:p w:rsidR="00BD42B7" w:rsidRPr="00274E79" w:rsidRDefault="00BD42B7" w:rsidP="00BD42B7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>Use combinations of tools to find density of both liquids and solids</w:t>
      </w:r>
    </w:p>
    <w:p w:rsidR="00BD42B7" w:rsidRPr="00274E79" w:rsidRDefault="00BD42B7" w:rsidP="00BD42B7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>Describe the forces that act on a completely or partially submerged object</w:t>
      </w:r>
    </w:p>
    <w:p w:rsidR="00BD42B7" w:rsidRPr="00274E79" w:rsidRDefault="00BD42B7" w:rsidP="00BD42B7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 xml:space="preserve">Describe what </w:t>
      </w:r>
      <w:r w:rsidRPr="00274E79">
        <w:rPr>
          <w:i/>
          <w:color w:val="000000"/>
        </w:rPr>
        <w:t>Buoyancy</w:t>
      </w:r>
      <w:r w:rsidRPr="00274E79">
        <w:rPr>
          <w:color w:val="000000"/>
        </w:rPr>
        <w:t xml:space="preserve"> is and how it affects the </w:t>
      </w:r>
      <w:r w:rsidRPr="00274E79">
        <w:rPr>
          <w:i/>
          <w:color w:val="000000"/>
        </w:rPr>
        <w:t>apparent weight</w:t>
      </w:r>
      <w:r w:rsidRPr="00274E79">
        <w:rPr>
          <w:color w:val="000000"/>
        </w:rPr>
        <w:t xml:space="preserve"> of an object in a fluid.</w:t>
      </w:r>
    </w:p>
    <w:p w:rsidR="00BD42B7" w:rsidRPr="00274E79" w:rsidRDefault="00BD42B7" w:rsidP="00BD42B7">
      <w:pPr>
        <w:pStyle w:val="ListParagraph"/>
        <w:numPr>
          <w:ilvl w:val="0"/>
          <w:numId w:val="6"/>
        </w:numPr>
        <w:rPr>
          <w:color w:val="000000"/>
        </w:rPr>
      </w:pPr>
      <w:r w:rsidRPr="00274E79">
        <w:rPr>
          <w:color w:val="000000"/>
        </w:rPr>
        <w:t>Predict whether an object will sink or float when placed in a liquid, given densities of the object and liquid</w:t>
      </w:r>
    </w:p>
    <w:p w:rsidR="00BD42B7" w:rsidRPr="00274E79" w:rsidRDefault="00BD42B7" w:rsidP="00BD42B7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 xml:space="preserve">Predict the </w:t>
      </w:r>
      <w:r w:rsidRPr="00274E79">
        <w:rPr>
          <w:i/>
          <w:color w:val="000000"/>
        </w:rPr>
        <w:t>apparent weight</w:t>
      </w:r>
      <w:r w:rsidRPr="00274E79">
        <w:rPr>
          <w:color w:val="000000"/>
        </w:rPr>
        <w:t xml:space="preserve"> of a completely or partially submerged object of known mass and volume in fluids for which the density is known</w:t>
      </w: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3653FB" w:rsidRDefault="00FA56C3">
      <w:r>
        <w:t xml:space="preserve"> My students are in Honors Physics, a first year junior level high school course with a pre-requisite of B or better in math and science and minimum math concurrent enrollment in Algebra II. They </w:t>
      </w:r>
      <w:r w:rsidR="00602429">
        <w:t xml:space="preserve">will have done an activity with the Density </w:t>
      </w:r>
      <w:proofErr w:type="spellStart"/>
      <w:r w:rsidR="00602429">
        <w:t>sim</w:t>
      </w:r>
      <w:proofErr w:type="spellEnd"/>
      <w:r w:rsidR="00602429">
        <w:t xml:space="preserve"> and read some materials in their texts. See my webpage for more information about scope and sequence of this unit. </w:t>
      </w:r>
      <w:hyperlink r:id="rId8" w:history="1">
        <w:r w:rsidR="00847932" w:rsidRPr="007B664D">
          <w:rPr>
            <w:rStyle w:val="Hyperlink"/>
          </w:rPr>
          <w:t>http://jeffcoweb.jeffco.k12.co.us/high/evergreen/science/loeblein/phys_syl/Sem2Unit5.html</w:t>
        </w:r>
      </w:hyperlink>
    </w:p>
    <w:p w:rsidR="00847932" w:rsidRDefault="00847932">
      <w:r>
        <w:t xml:space="preserve">The students did my Density activity, </w:t>
      </w:r>
      <w:hyperlink r:id="rId9" w:history="1">
        <w:r w:rsidRPr="007B664D">
          <w:rPr>
            <w:rStyle w:val="Hyperlink"/>
          </w:rPr>
          <w:t>https://phet.colorado.edu/en/contributions/view/3406</w:t>
        </w:r>
      </w:hyperlink>
      <w:proofErr w:type="gramStart"/>
      <w:r>
        <w:t>,  the</w:t>
      </w:r>
      <w:proofErr w:type="gramEnd"/>
      <w:r>
        <w:t xml:space="preserve"> day before this one.</w:t>
      </w:r>
    </w:p>
    <w:p w:rsidR="00030477" w:rsidRDefault="00030477">
      <w:pPr>
        <w:rPr>
          <w:b/>
          <w:bCs/>
          <w:i/>
        </w:rPr>
      </w:pPr>
    </w:p>
    <w:p w:rsidR="00847932" w:rsidRDefault="00B81A5F">
      <w:pPr>
        <w:rPr>
          <w:b/>
          <w:bCs/>
        </w:rPr>
      </w:pPr>
      <w:proofErr w:type="gramStart"/>
      <w:r>
        <w:rPr>
          <w:b/>
          <w:bCs/>
          <w:i/>
        </w:rPr>
        <w:t>Buoyancy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</w:t>
      </w:r>
      <w:proofErr w:type="gramEnd"/>
      <w:r w:rsidR="003653FB">
        <w:rPr>
          <w:b/>
          <w:bCs/>
        </w:rPr>
        <w:t xml:space="preserve">: </w:t>
      </w:r>
    </w:p>
    <w:p w:rsidR="003653FB" w:rsidRPr="00847932" w:rsidRDefault="00847932">
      <w:r w:rsidRPr="00847932">
        <w:rPr>
          <w:bCs/>
        </w:rPr>
        <w:t>I used the</w:t>
      </w:r>
      <w:r>
        <w:t xml:space="preserve"> Teacher Tips </w:t>
      </w:r>
      <w:hyperlink r:id="rId10" w:history="1">
        <w:r w:rsidR="00BD42B7" w:rsidRPr="007B664D">
          <w:rPr>
            <w:rStyle w:val="Hyperlink"/>
          </w:rPr>
          <w:t>http://phet.colorado.edu/files/teachers-guide/buoyancy-guide.pdf</w:t>
        </w:r>
      </w:hyperlink>
      <w:r w:rsidR="00BD42B7">
        <w:rPr>
          <w:color w:val="FF0000"/>
        </w:rPr>
        <w:t xml:space="preserve"> </w:t>
      </w:r>
      <w:r>
        <w:rPr>
          <w:color w:val="000000" w:themeColor="text1"/>
        </w:rPr>
        <w:t xml:space="preserve">to see what I might need to know about the tools. I did not see the need to show the students anything. </w:t>
      </w:r>
      <w:r w:rsidRPr="00847932">
        <w:t xml:space="preserve"> </w:t>
      </w:r>
      <w:r w:rsidR="003653FB" w:rsidRPr="00847932">
        <w:t xml:space="preserve"> </w:t>
      </w:r>
    </w:p>
    <w:p w:rsidR="003653FB" w:rsidRDefault="003653FB"/>
    <w:p w:rsidR="003653FB" w:rsidRDefault="003653FB">
      <w:pPr>
        <w:rPr>
          <w:b/>
          <w:bCs/>
        </w:rPr>
      </w:pPr>
      <w:r>
        <w:rPr>
          <w:b/>
          <w:bCs/>
        </w:rPr>
        <w:t xml:space="preserve">Lesson: </w:t>
      </w:r>
    </w:p>
    <w:p w:rsidR="003653FB" w:rsidRDefault="00A97A98">
      <w:r>
        <w:t>I plan to use this as an introductory lesson to Buoyancy</w:t>
      </w:r>
      <w:r w:rsidR="00B81A5F">
        <w:t xml:space="preserve"> </w:t>
      </w:r>
      <w:r>
        <w:t xml:space="preserve">. </w:t>
      </w:r>
      <w:r w:rsidR="00847932">
        <w:t xml:space="preserve">They will do Balloons and Buoyancy </w:t>
      </w:r>
      <w:r w:rsidR="0050100C">
        <w:t xml:space="preserve">activity afterwards </w:t>
      </w:r>
      <w:hyperlink r:id="rId11" w:history="1">
        <w:r w:rsidR="0050100C" w:rsidRPr="007B664D">
          <w:rPr>
            <w:rStyle w:val="Hyperlink"/>
          </w:rPr>
          <w:t>https://phet.colorado.edu/en/contributions/view/3407</w:t>
        </w:r>
      </w:hyperlink>
      <w:r w:rsidR="0050100C">
        <w:t xml:space="preserve">. </w:t>
      </w:r>
    </w:p>
    <w:sectPr w:rsidR="003653F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35" w:rsidRDefault="00BC5035">
      <w:r>
        <w:separator/>
      </w:r>
    </w:p>
  </w:endnote>
  <w:endnote w:type="continuationSeparator" w:id="0">
    <w:p w:rsidR="00BC5035" w:rsidRDefault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483570">
      <w:rPr>
        <w:noProof/>
        <w:sz w:val="20"/>
        <w:szCs w:val="20"/>
      </w:rPr>
      <w:t>4/25/2011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35" w:rsidRDefault="00BC5035">
      <w:r>
        <w:separator/>
      </w:r>
    </w:p>
  </w:footnote>
  <w:footnote w:type="continuationSeparator" w:id="0">
    <w:p w:rsidR="00BC5035" w:rsidRDefault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602429" w:rsidRDefault="003653FB" w:rsidP="00FA56C3">
    <w:pPr>
      <w:pStyle w:val="Header"/>
      <w:rPr>
        <w:sz w:val="28"/>
        <w:szCs w:val="28"/>
      </w:rPr>
    </w:pPr>
    <w:r w:rsidRPr="00602429">
      <w:rPr>
        <w:sz w:val="28"/>
        <w:szCs w:val="28"/>
      </w:rPr>
      <w:t xml:space="preserve">Lesson plan for </w:t>
    </w:r>
    <w:r w:rsidR="000C6432" w:rsidRPr="00602429">
      <w:rPr>
        <w:i/>
        <w:sz w:val="28"/>
        <w:szCs w:val="28"/>
      </w:rPr>
      <w:t>Buoyancy</w:t>
    </w:r>
    <w:r w:rsidRPr="00602429">
      <w:rPr>
        <w:iCs/>
        <w:sz w:val="28"/>
        <w:szCs w:val="28"/>
      </w:rPr>
      <w:t>:</w:t>
    </w:r>
    <w:r w:rsidR="00FA56C3" w:rsidRPr="00602429">
      <w:rPr>
        <w:iCs/>
        <w:sz w:val="28"/>
        <w:szCs w:val="28"/>
      </w:rPr>
      <w:t xml:space="preserve"> How </w:t>
    </w:r>
    <w:r w:rsidR="00602429" w:rsidRPr="00602429">
      <w:rPr>
        <w:iCs/>
        <w:sz w:val="28"/>
        <w:szCs w:val="28"/>
      </w:rPr>
      <w:t>Does Buoyant Force</w:t>
    </w:r>
    <w:r w:rsidR="00FA56C3" w:rsidRPr="00602429">
      <w:rPr>
        <w:iCs/>
        <w:sz w:val="28"/>
        <w:szCs w:val="28"/>
      </w:rPr>
      <w:t xml:space="preserve"> </w:t>
    </w:r>
    <w:r w:rsidR="00602429" w:rsidRPr="00602429">
      <w:rPr>
        <w:iCs/>
        <w:sz w:val="28"/>
        <w:szCs w:val="28"/>
      </w:rPr>
      <w:t>Act on Objects in a Fluid?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0546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2E4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245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607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D8F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F64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64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225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E02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32E32"/>
    <w:multiLevelType w:val="multilevel"/>
    <w:tmpl w:val="BD80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14F53"/>
    <w:multiLevelType w:val="multilevel"/>
    <w:tmpl w:val="BDE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97C4A"/>
    <w:multiLevelType w:val="hybridMultilevel"/>
    <w:tmpl w:val="087A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25822"/>
    <w:multiLevelType w:val="multilevel"/>
    <w:tmpl w:val="C5E0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C1EA3"/>
    <w:multiLevelType w:val="multilevel"/>
    <w:tmpl w:val="B2A0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346C5"/>
    <w:multiLevelType w:val="hybridMultilevel"/>
    <w:tmpl w:val="4AC4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0477"/>
    <w:rsid w:val="000314B0"/>
    <w:rsid w:val="0008392F"/>
    <w:rsid w:val="000C6432"/>
    <w:rsid w:val="003653FB"/>
    <w:rsid w:val="00402CD6"/>
    <w:rsid w:val="00483570"/>
    <w:rsid w:val="0050100C"/>
    <w:rsid w:val="005232A9"/>
    <w:rsid w:val="005F0EF0"/>
    <w:rsid w:val="00602429"/>
    <w:rsid w:val="00847932"/>
    <w:rsid w:val="00996A0A"/>
    <w:rsid w:val="00A97A98"/>
    <w:rsid w:val="00B81A5F"/>
    <w:rsid w:val="00BC5035"/>
    <w:rsid w:val="00BD42B7"/>
    <w:rsid w:val="00F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189">
                  <w:marLeft w:val="0"/>
                  <w:marRight w:val="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ffcoweb.jeffco.k12.co.us/high/evergreen/science/loeblein/phys_syl/Sem2Unit5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het.colorado.edu/en/contributions/view/34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het.colorado.edu/files/teachers-guide/buoyancy-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contributions/view/340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227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1839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9</cp:revision>
  <cp:lastPrinted>2011-04-26T03:15:00Z</cp:lastPrinted>
  <dcterms:created xsi:type="dcterms:W3CDTF">2011-04-19T22:32:00Z</dcterms:created>
  <dcterms:modified xsi:type="dcterms:W3CDTF">2011-04-26T03:15:00Z</dcterms:modified>
</cp:coreProperties>
</file>